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359E4" w14:textId="77777777" w:rsidR="00A065E3" w:rsidRDefault="009E06C2" w:rsidP="009E06C2">
      <w:pPr>
        <w:jc w:val="right"/>
      </w:pPr>
      <w:r>
        <w:rPr>
          <w:noProof/>
        </w:rPr>
        <w:drawing>
          <wp:inline distT="0" distB="0" distL="0" distR="0" wp14:anchorId="02DB42BD" wp14:editId="309C041C">
            <wp:extent cx="1219306" cy="77730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SG logo.png"/>
                    <pic:cNvPicPr/>
                  </pic:nvPicPr>
                  <pic:blipFill>
                    <a:blip r:embed="rId5">
                      <a:extLst>
                        <a:ext uri="{28A0092B-C50C-407E-A947-70E740481C1C}">
                          <a14:useLocalDpi xmlns:a14="http://schemas.microsoft.com/office/drawing/2010/main" val="0"/>
                        </a:ext>
                      </a:extLst>
                    </a:blip>
                    <a:stretch>
                      <a:fillRect/>
                    </a:stretch>
                  </pic:blipFill>
                  <pic:spPr>
                    <a:xfrm>
                      <a:off x="0" y="0"/>
                      <a:ext cx="1219306" cy="777307"/>
                    </a:xfrm>
                    <a:prstGeom prst="rect">
                      <a:avLst/>
                    </a:prstGeom>
                  </pic:spPr>
                </pic:pic>
              </a:graphicData>
            </a:graphic>
          </wp:inline>
        </w:drawing>
      </w:r>
    </w:p>
    <w:p w14:paraId="416C63EF" w14:textId="77777777" w:rsidR="009E06C2" w:rsidRDefault="009E06C2"/>
    <w:p w14:paraId="76429513" w14:textId="374D7D83" w:rsidR="009E06C2" w:rsidRPr="00310E6A" w:rsidRDefault="009E06C2" w:rsidP="00310E6A">
      <w:pPr>
        <w:jc w:val="center"/>
        <w:rPr>
          <w:b/>
          <w:sz w:val="28"/>
        </w:rPr>
      </w:pPr>
      <w:r w:rsidRPr="00310E6A">
        <w:rPr>
          <w:b/>
          <w:sz w:val="28"/>
        </w:rPr>
        <w:t>Minutes of the Annual General Meeting of UKSG</w:t>
      </w:r>
      <w:r w:rsidRPr="00310E6A">
        <w:rPr>
          <w:b/>
          <w:sz w:val="28"/>
        </w:rPr>
        <w:br/>
        <w:t xml:space="preserve">held on </w:t>
      </w:r>
      <w:r w:rsidR="009440D9">
        <w:rPr>
          <w:b/>
          <w:sz w:val="28"/>
        </w:rPr>
        <w:t>Wednesday 20</w:t>
      </w:r>
      <w:r w:rsidR="009440D9" w:rsidRPr="009440D9">
        <w:rPr>
          <w:b/>
          <w:sz w:val="28"/>
          <w:vertAlign w:val="superscript"/>
        </w:rPr>
        <w:t>th</w:t>
      </w:r>
      <w:r w:rsidR="009440D9">
        <w:rPr>
          <w:b/>
          <w:sz w:val="28"/>
        </w:rPr>
        <w:t xml:space="preserve"> May 2020</w:t>
      </w:r>
      <w:r w:rsidRPr="00310E6A">
        <w:rPr>
          <w:b/>
          <w:sz w:val="28"/>
        </w:rPr>
        <w:br/>
      </w:r>
      <w:r w:rsidR="009440D9">
        <w:rPr>
          <w:b/>
          <w:sz w:val="28"/>
        </w:rPr>
        <w:t>online</w:t>
      </w:r>
    </w:p>
    <w:p w14:paraId="735DDE27" w14:textId="77777777" w:rsidR="00EE2461" w:rsidRDefault="00EE2461"/>
    <w:p w14:paraId="73207FDE" w14:textId="77777777" w:rsidR="009E06C2" w:rsidRPr="00310E6A" w:rsidRDefault="009E06C2" w:rsidP="009E06C2">
      <w:pPr>
        <w:pStyle w:val="ListParagraph"/>
        <w:numPr>
          <w:ilvl w:val="0"/>
          <w:numId w:val="1"/>
        </w:numPr>
        <w:rPr>
          <w:b/>
          <w:sz w:val="24"/>
        </w:rPr>
      </w:pPr>
      <w:r w:rsidRPr="00310E6A">
        <w:rPr>
          <w:b/>
          <w:sz w:val="24"/>
        </w:rPr>
        <w:t>Chair’s Introduction and Confirmation of Quorum</w:t>
      </w:r>
    </w:p>
    <w:p w14:paraId="40D651AC" w14:textId="4FE97154" w:rsidR="009E06C2" w:rsidRDefault="009E06C2" w:rsidP="009E06C2">
      <w:r>
        <w:t>The Chair welcomed members and confirmed that the meeting was quorate. He introduced himself (</w:t>
      </w:r>
      <w:r w:rsidR="00385E6F">
        <w:t>Andrew Barker</w:t>
      </w:r>
      <w:r>
        <w:t xml:space="preserve">), </w:t>
      </w:r>
      <w:r w:rsidR="009440D9">
        <w:t xml:space="preserve">and Charlie Rapple (Treasurer). </w:t>
      </w:r>
    </w:p>
    <w:p w14:paraId="79080E38" w14:textId="77777777" w:rsidR="00EE2461" w:rsidRDefault="00EE2461" w:rsidP="009E06C2"/>
    <w:p w14:paraId="3432F564" w14:textId="77777777" w:rsidR="009440D9" w:rsidRPr="009440D9" w:rsidRDefault="009E06C2" w:rsidP="000C4217">
      <w:pPr>
        <w:pStyle w:val="ListParagraph"/>
        <w:numPr>
          <w:ilvl w:val="0"/>
          <w:numId w:val="1"/>
        </w:numPr>
        <w:rPr>
          <w:b/>
          <w:sz w:val="24"/>
        </w:rPr>
      </w:pPr>
      <w:r w:rsidRPr="009440D9">
        <w:rPr>
          <w:b/>
          <w:sz w:val="24"/>
        </w:rPr>
        <w:t xml:space="preserve">Minutes of the Annual General Meeting of UKSG held on </w:t>
      </w:r>
      <w:r w:rsidR="009440D9" w:rsidRPr="009440D9">
        <w:rPr>
          <w:b/>
          <w:sz w:val="24"/>
        </w:rPr>
        <w:t>Tuesday 9th April 2019</w:t>
      </w:r>
      <w:r w:rsidR="009440D9" w:rsidRPr="009440D9">
        <w:rPr>
          <w:b/>
          <w:sz w:val="24"/>
        </w:rPr>
        <w:br/>
        <w:t xml:space="preserve">at the Telford International Centre </w:t>
      </w:r>
    </w:p>
    <w:p w14:paraId="0A3740E2" w14:textId="594073F5" w:rsidR="009E06C2" w:rsidRDefault="009E06C2" w:rsidP="009440D9">
      <w:r>
        <w:t xml:space="preserve">The minutes of the previous Annual General Meeting of UKSG held at the </w:t>
      </w:r>
      <w:r w:rsidR="009440D9">
        <w:t>Telford International Centre</w:t>
      </w:r>
      <w:r>
        <w:t xml:space="preserve">, were accepted as a true and accurate record of the proceedings. </w:t>
      </w:r>
      <w:r w:rsidR="00B91E5F">
        <w:t xml:space="preserve"> </w:t>
      </w:r>
    </w:p>
    <w:p w14:paraId="04C0D866" w14:textId="77777777" w:rsidR="00EE2461" w:rsidRDefault="00EE2461" w:rsidP="009E06C2"/>
    <w:p w14:paraId="753A80AA" w14:textId="77777777" w:rsidR="009E06C2" w:rsidRPr="00310E6A" w:rsidRDefault="009E06C2" w:rsidP="009E06C2">
      <w:pPr>
        <w:pStyle w:val="ListParagraph"/>
        <w:numPr>
          <w:ilvl w:val="0"/>
          <w:numId w:val="1"/>
        </w:numPr>
        <w:rPr>
          <w:b/>
          <w:sz w:val="24"/>
        </w:rPr>
      </w:pPr>
      <w:r w:rsidRPr="00310E6A">
        <w:rPr>
          <w:b/>
          <w:sz w:val="24"/>
        </w:rPr>
        <w:t>Chair’s Report</w:t>
      </w:r>
    </w:p>
    <w:p w14:paraId="60670220" w14:textId="1D8467A6" w:rsidR="00C25F02" w:rsidRDefault="00881B63" w:rsidP="009E06C2">
      <w:r>
        <w:t>Andrew Barker</w:t>
      </w:r>
      <w:r w:rsidR="009E06C2">
        <w:t xml:space="preserve"> referred to </w:t>
      </w:r>
      <w:r w:rsidR="009440D9">
        <w:t>a successful 2019, seeing increased attendance at our seminars and a successful trial of a new venue in Telford.  He thanked two recent retirees, Ally Souster and Catherine Jamieson for their long service and the UKSG staff for their hard work</w:t>
      </w:r>
      <w:r w:rsidR="00E91387">
        <w:t>, and advised that Bev Acreman was confirmed as permanent Executive Director in June 2019</w:t>
      </w:r>
      <w:r w:rsidR="009440D9">
        <w:t xml:space="preserve">.  It was noted, however, that despite the successful return to surplus in 2019, the recent </w:t>
      </w:r>
      <w:proofErr w:type="spellStart"/>
      <w:r w:rsidR="009440D9">
        <w:t>Covid</w:t>
      </w:r>
      <w:proofErr w:type="spellEnd"/>
      <w:r w:rsidR="009440D9">
        <w:t xml:space="preserve"> 19 pandemic has had a devastating effect on our finances led by the cancellation of our annual conference and the suspension of our seminar programme. </w:t>
      </w:r>
      <w:r w:rsidR="00E91387">
        <w:t xml:space="preserve">  </w:t>
      </w:r>
    </w:p>
    <w:p w14:paraId="6AC975F1" w14:textId="77777777" w:rsidR="00EE2461" w:rsidRDefault="00EE2461" w:rsidP="009E06C2"/>
    <w:p w14:paraId="4DBE831B" w14:textId="3EFA5E8C" w:rsidR="009E06C2" w:rsidRPr="00310E6A" w:rsidRDefault="009E06C2" w:rsidP="009E06C2">
      <w:pPr>
        <w:pStyle w:val="ListParagraph"/>
        <w:numPr>
          <w:ilvl w:val="0"/>
          <w:numId w:val="1"/>
        </w:numPr>
        <w:rPr>
          <w:b/>
          <w:sz w:val="24"/>
        </w:rPr>
      </w:pPr>
      <w:r w:rsidRPr="00310E6A">
        <w:rPr>
          <w:b/>
          <w:sz w:val="24"/>
        </w:rPr>
        <w:t>Annual Report of the Officers and Annual Accounts of the Company for the Year Ended 31 December 201</w:t>
      </w:r>
      <w:r w:rsidR="00E91387">
        <w:rPr>
          <w:b/>
          <w:sz w:val="24"/>
        </w:rPr>
        <w:t>9</w:t>
      </w:r>
    </w:p>
    <w:p w14:paraId="20B873A9" w14:textId="6F8F519F" w:rsidR="00C25F02" w:rsidRDefault="00E91387" w:rsidP="009E06C2">
      <w:r>
        <w:t xml:space="preserve">The chair noted that in the 2019 AGM, that following three years of deficits we would be concentrating on cost control with a view to returning a surplus and replenishing our cash reserves.  This had been achieved, particularly with the new conference venue and the successful increase in attendance at the Seminars and One Day Conference. </w:t>
      </w:r>
    </w:p>
    <w:p w14:paraId="5F39CD7E" w14:textId="03D34486" w:rsidR="002376A6" w:rsidRDefault="00E91387" w:rsidP="009E06C2">
      <w:r>
        <w:t>The Chair</w:t>
      </w:r>
      <w:r w:rsidR="002376A6">
        <w:t xml:space="preserve"> then asked for approval of the reports and accounts for the year ended 31 December 201</w:t>
      </w:r>
      <w:r w:rsidR="00FA132E">
        <w:t>8</w:t>
      </w:r>
      <w:r w:rsidR="002376A6">
        <w:t xml:space="preserve">. This was proposed by </w:t>
      </w:r>
      <w:r>
        <w:t>Steve Sharp, Sheffield Hallam University</w:t>
      </w:r>
      <w:r w:rsidR="002376A6">
        <w:t xml:space="preserve">, seconded by </w:t>
      </w:r>
      <w:r>
        <w:t>Jill Emery, Portland State</w:t>
      </w:r>
      <w:r w:rsidR="00ED2F90">
        <w:t xml:space="preserve"> </w:t>
      </w:r>
      <w:r w:rsidR="002376A6">
        <w:t xml:space="preserve">and carried unanimously. </w:t>
      </w:r>
    </w:p>
    <w:p w14:paraId="478D5654" w14:textId="0B5809D8" w:rsidR="002376A6" w:rsidRPr="00310E6A" w:rsidRDefault="002376A6" w:rsidP="002376A6">
      <w:pPr>
        <w:pStyle w:val="ListParagraph"/>
        <w:numPr>
          <w:ilvl w:val="0"/>
          <w:numId w:val="1"/>
        </w:numPr>
        <w:rPr>
          <w:b/>
          <w:sz w:val="24"/>
        </w:rPr>
      </w:pPr>
      <w:r w:rsidRPr="00310E6A">
        <w:rPr>
          <w:b/>
          <w:sz w:val="24"/>
        </w:rPr>
        <w:t>Highlights of UKSG Activities in 201</w:t>
      </w:r>
      <w:r w:rsidR="00E91387">
        <w:rPr>
          <w:b/>
          <w:sz w:val="24"/>
        </w:rPr>
        <w:t>9</w:t>
      </w:r>
    </w:p>
    <w:p w14:paraId="1435C283" w14:textId="78144044" w:rsidR="007A2205" w:rsidRDefault="007A2205" w:rsidP="002376A6">
      <w:r>
        <w:lastRenderedPageBreak/>
        <w:t>Andrew noted,</w:t>
      </w:r>
      <w:r w:rsidR="00E91387">
        <w:t xml:space="preserve"> that we had carried out a root and branch review of our governance, and in turn, our Articles of Association which were approve at the January 2020 Extraordinary General Meeting.  He gave thanks to Dominic Broadhurst, University of Salford for this work on the Research and Innovation Committee, and thanked Yann Amouroux, TBI Communications for his work on the Outreach and Engagement Committee, with a welcome to Sarah Roughley, University of Liverpool who is now sole-Chair. </w:t>
      </w:r>
    </w:p>
    <w:p w14:paraId="6D73E7F0" w14:textId="77777777" w:rsidR="007A2205" w:rsidRDefault="007A2205" w:rsidP="002376A6">
      <w:pPr>
        <w:pStyle w:val="ListParagraph"/>
        <w:numPr>
          <w:ilvl w:val="1"/>
          <w:numId w:val="1"/>
        </w:numPr>
        <w:rPr>
          <w:b/>
        </w:rPr>
      </w:pPr>
      <w:r>
        <w:rPr>
          <w:b/>
        </w:rPr>
        <w:t>Events</w:t>
      </w:r>
    </w:p>
    <w:p w14:paraId="1295E5EA" w14:textId="5CB01593" w:rsidR="007A2205" w:rsidRPr="007A2205" w:rsidRDefault="00E91387" w:rsidP="007A2205">
      <w:r>
        <w:t xml:space="preserve">Andrew </w:t>
      </w:r>
      <w:r w:rsidR="007A2205">
        <w:t>noted that there had been two major events in 201</w:t>
      </w:r>
      <w:r>
        <w:t>9</w:t>
      </w:r>
      <w:r w:rsidR="007A2205">
        <w:t>, being the 4</w:t>
      </w:r>
      <w:r>
        <w:t>2</w:t>
      </w:r>
      <w:r w:rsidRPr="00E91387">
        <w:rPr>
          <w:vertAlign w:val="superscript"/>
        </w:rPr>
        <w:t>nd</w:t>
      </w:r>
      <w:r>
        <w:t xml:space="preserve"> </w:t>
      </w:r>
      <w:r w:rsidR="00E32592">
        <w:t>A</w:t>
      </w:r>
      <w:r w:rsidR="007A2205">
        <w:t xml:space="preserve">nnual </w:t>
      </w:r>
      <w:r w:rsidR="00E32592">
        <w:t>C</w:t>
      </w:r>
      <w:r w:rsidR="007A2205">
        <w:t xml:space="preserve">onference in </w:t>
      </w:r>
      <w:r>
        <w:t>Telford</w:t>
      </w:r>
      <w:r w:rsidR="00740A9E">
        <w:t xml:space="preserve"> which had been well attended and the One Day Conference which had exceeded expectations and received very good feedback.</w:t>
      </w:r>
    </w:p>
    <w:p w14:paraId="1BA20213" w14:textId="77777777" w:rsidR="002376A6" w:rsidRPr="007A2205" w:rsidRDefault="002376A6" w:rsidP="007A2205">
      <w:pPr>
        <w:pStyle w:val="ListParagraph"/>
        <w:numPr>
          <w:ilvl w:val="1"/>
          <w:numId w:val="1"/>
        </w:numPr>
        <w:rPr>
          <w:b/>
        </w:rPr>
      </w:pPr>
      <w:r w:rsidRPr="007A2205">
        <w:rPr>
          <w:b/>
        </w:rPr>
        <w:t>Education</w:t>
      </w:r>
    </w:p>
    <w:p w14:paraId="313651FE" w14:textId="125EB46B" w:rsidR="00EE2461" w:rsidRDefault="00E91387" w:rsidP="002376A6">
      <w:r>
        <w:t xml:space="preserve">Andrew thanked Anna Grigson, Royal Holloway, for her hard work as Chair over the last three years, and welcomed Sarah Pittaway, University of Worcester as our Webinar Officer. </w:t>
      </w:r>
    </w:p>
    <w:p w14:paraId="563C1F4C" w14:textId="51063BCF" w:rsidR="00550B76" w:rsidRPr="00550B76" w:rsidRDefault="00550B76" w:rsidP="002376A6">
      <w:pPr>
        <w:rPr>
          <w:b/>
          <w:bCs/>
        </w:rPr>
      </w:pPr>
      <w:r w:rsidRPr="00550B76">
        <w:rPr>
          <w:b/>
          <w:bCs/>
        </w:rPr>
        <w:t>5.3 Outreach &amp; Engagement</w:t>
      </w:r>
    </w:p>
    <w:p w14:paraId="77314C50" w14:textId="6A38871C" w:rsidR="00550B76" w:rsidRDefault="00550B76" w:rsidP="002376A6">
      <w:r>
        <w:t xml:space="preserve">Sarah Roughley was thanked for successfully re-engineering the Awards and Bursaries for the Annual Conference and increasing the engagement with the winners.  We plan to roll out the student roadshows to publishing courses and work to create UKSG champions within all member institutions. </w:t>
      </w:r>
    </w:p>
    <w:p w14:paraId="696A6E88" w14:textId="27187A66" w:rsidR="00550B76" w:rsidRPr="00550B76" w:rsidRDefault="00550B76" w:rsidP="002376A6">
      <w:pPr>
        <w:rPr>
          <w:b/>
          <w:bCs/>
        </w:rPr>
      </w:pPr>
      <w:r w:rsidRPr="00550B76">
        <w:rPr>
          <w:b/>
          <w:bCs/>
        </w:rPr>
        <w:t>5.4 Research &amp; Innovation</w:t>
      </w:r>
    </w:p>
    <w:p w14:paraId="711C757E" w14:textId="4C4FF80E" w:rsidR="00550B76" w:rsidRDefault="00550B76" w:rsidP="002376A6">
      <w:r>
        <w:t>It was noted that Amy Stubbings won the sponsored conference place award, attending ALA in 2019</w:t>
      </w:r>
      <w:r w:rsidR="00827A73">
        <w:t>,</w:t>
      </w:r>
      <w:r>
        <w:t xml:space="preserve"> and we had five winners for our innovation awards.  Andrew noted that this </w:t>
      </w:r>
      <w:r w:rsidR="00827A73">
        <w:t xml:space="preserve">R&amp;I </w:t>
      </w:r>
      <w:r>
        <w:t xml:space="preserve">activity underpinned our charitable sector seeking to support our community. </w:t>
      </w:r>
    </w:p>
    <w:p w14:paraId="0BF454DE" w14:textId="2BF81BD6" w:rsidR="002376A6" w:rsidRPr="00550B76" w:rsidRDefault="00550B76" w:rsidP="00550B76">
      <w:pPr>
        <w:rPr>
          <w:b/>
        </w:rPr>
      </w:pPr>
      <w:r>
        <w:rPr>
          <w:b/>
        </w:rPr>
        <w:t xml:space="preserve">5.5 </w:t>
      </w:r>
      <w:r w:rsidR="002376A6" w:rsidRPr="00550B76">
        <w:rPr>
          <w:b/>
        </w:rPr>
        <w:t>Publications</w:t>
      </w:r>
    </w:p>
    <w:p w14:paraId="37688916" w14:textId="2121A406" w:rsidR="002376A6" w:rsidRDefault="00E91387" w:rsidP="002376A6">
      <w:r>
        <w:t>C</w:t>
      </w:r>
      <w:r w:rsidR="00740A9E">
        <w:t xml:space="preserve">ontinuous publication had now been in place for </w:t>
      </w:r>
      <w:r>
        <w:t>two years</w:t>
      </w:r>
      <w:r w:rsidR="00740A9E">
        <w:t xml:space="preserve"> and continue</w:t>
      </w:r>
      <w:r>
        <w:t>s</w:t>
      </w:r>
      <w:r w:rsidR="00740A9E">
        <w:t xml:space="preserve"> to go well</w:t>
      </w:r>
      <w:r>
        <w:t xml:space="preserve"> with an increase</w:t>
      </w:r>
      <w:r w:rsidR="00550B76">
        <w:t xml:space="preserve"> in usage and citations. </w:t>
      </w:r>
    </w:p>
    <w:p w14:paraId="3BF73116" w14:textId="0DCD0D8A" w:rsidR="002376A6" w:rsidRPr="00310E6A" w:rsidRDefault="002376A6" w:rsidP="00E73F10">
      <w:pPr>
        <w:pStyle w:val="ListParagraph"/>
        <w:numPr>
          <w:ilvl w:val="0"/>
          <w:numId w:val="1"/>
        </w:numPr>
        <w:rPr>
          <w:b/>
          <w:sz w:val="24"/>
        </w:rPr>
      </w:pPr>
      <w:r w:rsidRPr="00310E6A">
        <w:rPr>
          <w:b/>
          <w:sz w:val="24"/>
        </w:rPr>
        <w:t xml:space="preserve"> Membership subscription of the Company for 20</w:t>
      </w:r>
      <w:r w:rsidR="00550B76">
        <w:rPr>
          <w:b/>
          <w:sz w:val="24"/>
        </w:rPr>
        <w:t>21</w:t>
      </w:r>
    </w:p>
    <w:p w14:paraId="1522DB4F" w14:textId="0ED6E55D" w:rsidR="002376A6" w:rsidRDefault="002376A6" w:rsidP="002376A6">
      <w:r>
        <w:t xml:space="preserve">The following membership rates were recommended by </w:t>
      </w:r>
      <w:r w:rsidR="00550B76">
        <w:t>Charlie Rapple</w:t>
      </w:r>
      <w:r>
        <w:t xml:space="preserve"> for 20</w:t>
      </w:r>
      <w:r w:rsidR="004E0605">
        <w:t>20</w:t>
      </w:r>
      <w:r w:rsidR="00E73F10">
        <w:t xml:space="preserve">, being an increase of </w:t>
      </w:r>
      <w:r w:rsidR="004E0605">
        <w:t>1</w:t>
      </w:r>
      <w:r w:rsidR="00E73F10">
        <w:t>%:</w:t>
      </w:r>
    </w:p>
    <w:tbl>
      <w:tblPr>
        <w:tblW w:w="5000" w:type="pct"/>
        <w:tblCellMar>
          <w:left w:w="0" w:type="dxa"/>
          <w:right w:w="0" w:type="dxa"/>
        </w:tblCellMar>
        <w:tblLook w:val="0600" w:firstRow="0" w:lastRow="0" w:firstColumn="0" w:lastColumn="0" w:noHBand="1" w:noVBand="1"/>
      </w:tblPr>
      <w:tblGrid>
        <w:gridCol w:w="6103"/>
        <w:gridCol w:w="1639"/>
        <w:gridCol w:w="1264"/>
      </w:tblGrid>
      <w:tr w:rsidR="00550B76" w:rsidRPr="00280EBB" w14:paraId="53B716DF" w14:textId="77777777" w:rsidTr="00792A83">
        <w:trPr>
          <w:trHeight w:val="328"/>
        </w:trPr>
        <w:tc>
          <w:tcPr>
            <w:tcW w:w="3387" w:type="pct"/>
            <w:vMerge w:val="restar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4D5E3B9E" w14:textId="77777777" w:rsidR="00550B76" w:rsidRPr="00280EBB" w:rsidRDefault="00550B76" w:rsidP="00792A83">
            <w:pPr>
              <w:rPr>
                <w:b/>
                <w:sz w:val="20"/>
                <w:szCs w:val="20"/>
              </w:rPr>
            </w:pPr>
            <w:r w:rsidRPr="00280EBB">
              <w:rPr>
                <w:b/>
                <w:sz w:val="20"/>
                <w:szCs w:val="20"/>
              </w:rPr>
              <w:t>Category</w:t>
            </w:r>
          </w:p>
        </w:tc>
        <w:tc>
          <w:tcPr>
            <w:tcW w:w="910"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3321E7C7" w14:textId="77777777" w:rsidR="00550B76" w:rsidRPr="00280EBB" w:rsidRDefault="00550B76" w:rsidP="00792A83">
            <w:pPr>
              <w:rPr>
                <w:b/>
                <w:sz w:val="20"/>
                <w:szCs w:val="20"/>
              </w:rPr>
            </w:pPr>
            <w:r w:rsidRPr="00280EBB">
              <w:rPr>
                <w:b/>
                <w:sz w:val="20"/>
                <w:szCs w:val="20"/>
              </w:rPr>
              <w:t>2020 Annual</w:t>
            </w:r>
          </w:p>
        </w:tc>
        <w:tc>
          <w:tcPr>
            <w:tcW w:w="702"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36C58CCB" w14:textId="77777777" w:rsidR="00550B76" w:rsidRPr="00280EBB" w:rsidRDefault="00550B76" w:rsidP="00792A83">
            <w:pPr>
              <w:rPr>
                <w:b/>
                <w:sz w:val="20"/>
                <w:szCs w:val="20"/>
              </w:rPr>
            </w:pPr>
            <w:r w:rsidRPr="00280EBB">
              <w:rPr>
                <w:b/>
                <w:sz w:val="20"/>
                <w:szCs w:val="20"/>
              </w:rPr>
              <w:t xml:space="preserve">2021 Proposed </w:t>
            </w:r>
          </w:p>
        </w:tc>
      </w:tr>
      <w:tr w:rsidR="00550B76" w:rsidRPr="00280EBB" w14:paraId="0141C666" w14:textId="77777777" w:rsidTr="00792A83">
        <w:trPr>
          <w:trHeight w:val="328"/>
        </w:trPr>
        <w:tc>
          <w:tcPr>
            <w:tcW w:w="3387" w:type="pct"/>
            <w:vMerge/>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31F53BA9" w14:textId="77777777" w:rsidR="00550B76" w:rsidRPr="00280EBB" w:rsidRDefault="00550B76" w:rsidP="00792A83">
            <w:pPr>
              <w:rPr>
                <w:b/>
                <w:sz w:val="20"/>
                <w:szCs w:val="20"/>
              </w:rPr>
            </w:pPr>
          </w:p>
        </w:tc>
        <w:tc>
          <w:tcPr>
            <w:tcW w:w="910"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27FE8349" w14:textId="77777777" w:rsidR="00550B76" w:rsidRPr="00280EBB" w:rsidRDefault="00550B76" w:rsidP="00792A83">
            <w:pPr>
              <w:rPr>
                <w:b/>
                <w:sz w:val="20"/>
                <w:szCs w:val="20"/>
              </w:rPr>
            </w:pPr>
            <w:r w:rsidRPr="00280EBB">
              <w:rPr>
                <w:b/>
                <w:sz w:val="20"/>
                <w:szCs w:val="20"/>
              </w:rPr>
              <w:t xml:space="preserve"> Fee (£) ex VAT </w:t>
            </w:r>
          </w:p>
        </w:tc>
        <w:tc>
          <w:tcPr>
            <w:tcW w:w="702"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69FF4688" w14:textId="77777777" w:rsidR="00550B76" w:rsidRPr="00280EBB" w:rsidRDefault="00550B76" w:rsidP="00792A83">
            <w:pPr>
              <w:rPr>
                <w:b/>
                <w:sz w:val="20"/>
                <w:szCs w:val="20"/>
              </w:rPr>
            </w:pPr>
            <w:r w:rsidRPr="00280EBB">
              <w:rPr>
                <w:b/>
                <w:sz w:val="20"/>
                <w:szCs w:val="20"/>
              </w:rPr>
              <w:t>Annual Fee</w:t>
            </w:r>
          </w:p>
        </w:tc>
      </w:tr>
      <w:tr w:rsidR="00550B76" w:rsidRPr="00280EBB" w14:paraId="5586E2E2" w14:textId="77777777" w:rsidTr="00792A83">
        <w:trPr>
          <w:trHeight w:val="328"/>
        </w:trPr>
        <w:tc>
          <w:tcPr>
            <w:tcW w:w="3387"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5364D540" w14:textId="59931E6B" w:rsidR="00550B76" w:rsidRPr="00280EBB" w:rsidRDefault="00550B76" w:rsidP="00792A83">
            <w:pPr>
              <w:rPr>
                <w:bCs/>
                <w:sz w:val="20"/>
                <w:szCs w:val="20"/>
              </w:rPr>
            </w:pPr>
            <w:r w:rsidRPr="00280EBB">
              <w:rPr>
                <w:bCs/>
                <w:sz w:val="20"/>
                <w:szCs w:val="20"/>
              </w:rPr>
              <w:t> Library: Higher Education / medical / government /national institution / corporate</w:t>
            </w:r>
          </w:p>
        </w:tc>
        <w:tc>
          <w:tcPr>
            <w:tcW w:w="910"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5E55D9CE" w14:textId="77777777" w:rsidR="00550B76" w:rsidRPr="00280EBB" w:rsidRDefault="00550B76" w:rsidP="00792A83">
            <w:pPr>
              <w:rPr>
                <w:bCs/>
                <w:sz w:val="20"/>
                <w:szCs w:val="20"/>
              </w:rPr>
            </w:pPr>
            <w:r w:rsidRPr="00280EBB">
              <w:rPr>
                <w:bCs/>
                <w:sz w:val="20"/>
                <w:szCs w:val="20"/>
              </w:rPr>
              <w:t>107</w:t>
            </w:r>
          </w:p>
        </w:tc>
        <w:tc>
          <w:tcPr>
            <w:tcW w:w="702"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1E91AC2C" w14:textId="77777777" w:rsidR="00550B76" w:rsidRPr="00280EBB" w:rsidRDefault="00550B76" w:rsidP="00792A83">
            <w:pPr>
              <w:rPr>
                <w:bCs/>
                <w:sz w:val="20"/>
                <w:szCs w:val="20"/>
              </w:rPr>
            </w:pPr>
            <w:r w:rsidRPr="00280EBB">
              <w:rPr>
                <w:bCs/>
                <w:sz w:val="20"/>
                <w:szCs w:val="20"/>
              </w:rPr>
              <w:t>108</w:t>
            </w:r>
          </w:p>
        </w:tc>
      </w:tr>
      <w:tr w:rsidR="00550B76" w:rsidRPr="00280EBB" w14:paraId="61518916" w14:textId="77777777" w:rsidTr="00792A83">
        <w:trPr>
          <w:trHeight w:val="328"/>
        </w:trPr>
        <w:tc>
          <w:tcPr>
            <w:tcW w:w="3387"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32BADC35" w14:textId="77777777" w:rsidR="00550B76" w:rsidRPr="00280EBB" w:rsidRDefault="00550B76" w:rsidP="00792A83">
            <w:pPr>
              <w:rPr>
                <w:bCs/>
                <w:sz w:val="20"/>
                <w:szCs w:val="20"/>
              </w:rPr>
            </w:pPr>
            <w:r w:rsidRPr="00280EBB">
              <w:rPr>
                <w:bCs/>
                <w:sz w:val="20"/>
                <w:szCs w:val="20"/>
              </w:rPr>
              <w:t> Library: Further Education</w:t>
            </w:r>
          </w:p>
        </w:tc>
        <w:tc>
          <w:tcPr>
            <w:tcW w:w="910"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459EAA81" w14:textId="77777777" w:rsidR="00550B76" w:rsidRPr="00280EBB" w:rsidRDefault="00550B76" w:rsidP="00792A83">
            <w:pPr>
              <w:rPr>
                <w:bCs/>
                <w:sz w:val="20"/>
                <w:szCs w:val="20"/>
              </w:rPr>
            </w:pPr>
            <w:r w:rsidRPr="00280EBB">
              <w:rPr>
                <w:bCs/>
                <w:sz w:val="20"/>
                <w:szCs w:val="20"/>
              </w:rPr>
              <w:t>52</w:t>
            </w:r>
          </w:p>
        </w:tc>
        <w:tc>
          <w:tcPr>
            <w:tcW w:w="702"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72FFFB1D" w14:textId="77777777" w:rsidR="00550B76" w:rsidRPr="00280EBB" w:rsidRDefault="00550B76" w:rsidP="00792A83">
            <w:pPr>
              <w:rPr>
                <w:bCs/>
                <w:sz w:val="20"/>
                <w:szCs w:val="20"/>
              </w:rPr>
            </w:pPr>
            <w:r w:rsidRPr="00280EBB">
              <w:rPr>
                <w:bCs/>
                <w:sz w:val="20"/>
                <w:szCs w:val="20"/>
              </w:rPr>
              <w:t>53</w:t>
            </w:r>
          </w:p>
        </w:tc>
      </w:tr>
      <w:tr w:rsidR="00550B76" w:rsidRPr="00280EBB" w14:paraId="6A3C9FD7" w14:textId="77777777" w:rsidTr="00792A83">
        <w:trPr>
          <w:trHeight w:val="328"/>
        </w:trPr>
        <w:tc>
          <w:tcPr>
            <w:tcW w:w="3387"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1004ED15" w14:textId="77777777" w:rsidR="00550B76" w:rsidRPr="00280EBB" w:rsidRDefault="00550B76" w:rsidP="00792A83">
            <w:pPr>
              <w:rPr>
                <w:bCs/>
                <w:sz w:val="20"/>
                <w:szCs w:val="20"/>
              </w:rPr>
            </w:pPr>
            <w:r w:rsidRPr="00280EBB">
              <w:rPr>
                <w:bCs/>
                <w:sz w:val="20"/>
                <w:szCs w:val="20"/>
              </w:rPr>
              <w:t> Student (18 or over)</w:t>
            </w:r>
          </w:p>
        </w:tc>
        <w:tc>
          <w:tcPr>
            <w:tcW w:w="910"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2807FB2C" w14:textId="77777777" w:rsidR="00550B76" w:rsidRPr="00280EBB" w:rsidRDefault="00550B76" w:rsidP="00792A83">
            <w:pPr>
              <w:rPr>
                <w:bCs/>
                <w:sz w:val="20"/>
                <w:szCs w:val="20"/>
              </w:rPr>
            </w:pPr>
            <w:r w:rsidRPr="00280EBB">
              <w:rPr>
                <w:bCs/>
                <w:sz w:val="20"/>
                <w:szCs w:val="20"/>
              </w:rPr>
              <w:t>FREE</w:t>
            </w:r>
          </w:p>
        </w:tc>
        <w:tc>
          <w:tcPr>
            <w:tcW w:w="702"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553B97D5" w14:textId="77777777" w:rsidR="00550B76" w:rsidRPr="00280EBB" w:rsidRDefault="00550B76" w:rsidP="00792A83">
            <w:pPr>
              <w:rPr>
                <w:bCs/>
                <w:sz w:val="20"/>
                <w:szCs w:val="20"/>
              </w:rPr>
            </w:pPr>
            <w:r w:rsidRPr="00280EBB">
              <w:rPr>
                <w:bCs/>
                <w:sz w:val="20"/>
                <w:szCs w:val="20"/>
              </w:rPr>
              <w:t>FREE</w:t>
            </w:r>
          </w:p>
        </w:tc>
      </w:tr>
      <w:tr w:rsidR="00550B76" w:rsidRPr="00280EBB" w14:paraId="02256FA7" w14:textId="77777777" w:rsidTr="00792A83">
        <w:trPr>
          <w:trHeight w:val="328"/>
        </w:trPr>
        <w:tc>
          <w:tcPr>
            <w:tcW w:w="3387"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32CCF6AA" w14:textId="77777777" w:rsidR="00550B76" w:rsidRPr="00280EBB" w:rsidRDefault="00550B76" w:rsidP="00792A83">
            <w:pPr>
              <w:rPr>
                <w:bCs/>
                <w:sz w:val="20"/>
                <w:szCs w:val="20"/>
              </w:rPr>
            </w:pPr>
            <w:r w:rsidRPr="00280EBB">
              <w:rPr>
                <w:bCs/>
                <w:sz w:val="20"/>
                <w:szCs w:val="20"/>
              </w:rPr>
              <w:t> Individual (18 or over)</w:t>
            </w:r>
          </w:p>
        </w:tc>
        <w:tc>
          <w:tcPr>
            <w:tcW w:w="910"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7C1F9F63" w14:textId="77777777" w:rsidR="00550B76" w:rsidRPr="00280EBB" w:rsidRDefault="00550B76" w:rsidP="00792A83">
            <w:pPr>
              <w:rPr>
                <w:bCs/>
                <w:sz w:val="20"/>
                <w:szCs w:val="20"/>
              </w:rPr>
            </w:pPr>
            <w:r w:rsidRPr="00280EBB">
              <w:rPr>
                <w:bCs/>
                <w:sz w:val="20"/>
                <w:szCs w:val="20"/>
              </w:rPr>
              <w:t>52</w:t>
            </w:r>
          </w:p>
        </w:tc>
        <w:tc>
          <w:tcPr>
            <w:tcW w:w="702"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64328BAE" w14:textId="77777777" w:rsidR="00550B76" w:rsidRPr="00280EBB" w:rsidRDefault="00550B76" w:rsidP="00792A83">
            <w:pPr>
              <w:rPr>
                <w:bCs/>
                <w:sz w:val="20"/>
                <w:szCs w:val="20"/>
              </w:rPr>
            </w:pPr>
            <w:r w:rsidRPr="00280EBB">
              <w:rPr>
                <w:bCs/>
                <w:sz w:val="20"/>
                <w:szCs w:val="20"/>
              </w:rPr>
              <w:t>53</w:t>
            </w:r>
          </w:p>
        </w:tc>
      </w:tr>
      <w:tr w:rsidR="00550B76" w:rsidRPr="00280EBB" w14:paraId="71159A51" w14:textId="77777777" w:rsidTr="00792A83">
        <w:trPr>
          <w:trHeight w:val="328"/>
        </w:trPr>
        <w:tc>
          <w:tcPr>
            <w:tcW w:w="3387"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7138FA2F" w14:textId="77777777" w:rsidR="00550B76" w:rsidRPr="00280EBB" w:rsidRDefault="00550B76" w:rsidP="00792A83">
            <w:pPr>
              <w:rPr>
                <w:bCs/>
                <w:sz w:val="20"/>
                <w:szCs w:val="20"/>
              </w:rPr>
            </w:pPr>
            <w:r w:rsidRPr="00280EBB">
              <w:rPr>
                <w:bCs/>
                <w:sz w:val="20"/>
                <w:szCs w:val="20"/>
              </w:rPr>
              <w:t> Publisher / vendor / service provider:  sole trader</w:t>
            </w:r>
          </w:p>
        </w:tc>
        <w:tc>
          <w:tcPr>
            <w:tcW w:w="910"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31E2D6D6" w14:textId="77777777" w:rsidR="00550B76" w:rsidRPr="00280EBB" w:rsidRDefault="00550B76" w:rsidP="00792A83">
            <w:pPr>
              <w:rPr>
                <w:bCs/>
                <w:sz w:val="20"/>
                <w:szCs w:val="20"/>
              </w:rPr>
            </w:pPr>
            <w:r w:rsidRPr="00280EBB">
              <w:rPr>
                <w:bCs/>
                <w:sz w:val="20"/>
                <w:szCs w:val="20"/>
              </w:rPr>
              <w:t>52</w:t>
            </w:r>
          </w:p>
        </w:tc>
        <w:tc>
          <w:tcPr>
            <w:tcW w:w="702"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6658A096" w14:textId="77777777" w:rsidR="00550B76" w:rsidRPr="00280EBB" w:rsidRDefault="00550B76" w:rsidP="00792A83">
            <w:pPr>
              <w:rPr>
                <w:bCs/>
                <w:sz w:val="20"/>
                <w:szCs w:val="20"/>
              </w:rPr>
            </w:pPr>
            <w:r w:rsidRPr="00280EBB">
              <w:rPr>
                <w:bCs/>
                <w:sz w:val="20"/>
                <w:szCs w:val="20"/>
              </w:rPr>
              <w:t>53</w:t>
            </w:r>
          </w:p>
        </w:tc>
      </w:tr>
      <w:tr w:rsidR="00550B76" w:rsidRPr="00280EBB" w14:paraId="50976D10" w14:textId="77777777" w:rsidTr="00792A83">
        <w:trPr>
          <w:trHeight w:val="328"/>
        </w:trPr>
        <w:tc>
          <w:tcPr>
            <w:tcW w:w="3387"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64CE10FB" w14:textId="77777777" w:rsidR="00550B76" w:rsidRPr="00280EBB" w:rsidRDefault="00550B76" w:rsidP="00792A83">
            <w:pPr>
              <w:rPr>
                <w:bCs/>
                <w:sz w:val="20"/>
                <w:szCs w:val="20"/>
              </w:rPr>
            </w:pPr>
            <w:r w:rsidRPr="00280EBB">
              <w:rPr>
                <w:bCs/>
                <w:sz w:val="20"/>
                <w:szCs w:val="20"/>
              </w:rPr>
              <w:t> Publisher / vendor / service provider:  2–20 staff</w:t>
            </w:r>
          </w:p>
        </w:tc>
        <w:tc>
          <w:tcPr>
            <w:tcW w:w="910"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506E5B41" w14:textId="77777777" w:rsidR="00550B76" w:rsidRPr="00280EBB" w:rsidRDefault="00550B76" w:rsidP="00792A83">
            <w:pPr>
              <w:rPr>
                <w:bCs/>
                <w:sz w:val="20"/>
                <w:szCs w:val="20"/>
              </w:rPr>
            </w:pPr>
            <w:r w:rsidRPr="00280EBB">
              <w:rPr>
                <w:bCs/>
                <w:sz w:val="20"/>
                <w:szCs w:val="20"/>
              </w:rPr>
              <w:t>107</w:t>
            </w:r>
          </w:p>
        </w:tc>
        <w:tc>
          <w:tcPr>
            <w:tcW w:w="702"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34AF9FEF" w14:textId="77777777" w:rsidR="00550B76" w:rsidRPr="00280EBB" w:rsidRDefault="00550B76" w:rsidP="00792A83">
            <w:pPr>
              <w:rPr>
                <w:bCs/>
                <w:sz w:val="20"/>
                <w:szCs w:val="20"/>
              </w:rPr>
            </w:pPr>
            <w:r w:rsidRPr="00280EBB">
              <w:rPr>
                <w:bCs/>
                <w:sz w:val="20"/>
                <w:szCs w:val="20"/>
              </w:rPr>
              <w:t>108</w:t>
            </w:r>
          </w:p>
        </w:tc>
      </w:tr>
      <w:tr w:rsidR="00550B76" w:rsidRPr="00280EBB" w14:paraId="1E4D818A" w14:textId="77777777" w:rsidTr="00792A83">
        <w:trPr>
          <w:trHeight w:val="328"/>
        </w:trPr>
        <w:tc>
          <w:tcPr>
            <w:tcW w:w="3387"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5C3FE576" w14:textId="77777777" w:rsidR="00550B76" w:rsidRPr="00280EBB" w:rsidRDefault="00550B76" w:rsidP="00792A83">
            <w:pPr>
              <w:rPr>
                <w:bCs/>
                <w:sz w:val="20"/>
                <w:szCs w:val="20"/>
              </w:rPr>
            </w:pPr>
            <w:r w:rsidRPr="00280EBB">
              <w:rPr>
                <w:bCs/>
                <w:sz w:val="20"/>
                <w:szCs w:val="20"/>
              </w:rPr>
              <w:lastRenderedPageBreak/>
              <w:t> Publisher / vendor / service provider:  21–100 staff</w:t>
            </w:r>
          </w:p>
        </w:tc>
        <w:tc>
          <w:tcPr>
            <w:tcW w:w="910"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1A52DA3A" w14:textId="77777777" w:rsidR="00550B76" w:rsidRPr="00280EBB" w:rsidRDefault="00550B76" w:rsidP="00792A83">
            <w:pPr>
              <w:rPr>
                <w:bCs/>
                <w:sz w:val="20"/>
                <w:szCs w:val="20"/>
              </w:rPr>
            </w:pPr>
            <w:r w:rsidRPr="00280EBB">
              <w:rPr>
                <w:bCs/>
                <w:sz w:val="20"/>
                <w:szCs w:val="20"/>
              </w:rPr>
              <w:t>173</w:t>
            </w:r>
          </w:p>
        </w:tc>
        <w:tc>
          <w:tcPr>
            <w:tcW w:w="702"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778AAE4C" w14:textId="77777777" w:rsidR="00550B76" w:rsidRPr="00280EBB" w:rsidRDefault="00550B76" w:rsidP="00792A83">
            <w:pPr>
              <w:rPr>
                <w:bCs/>
                <w:sz w:val="20"/>
                <w:szCs w:val="20"/>
              </w:rPr>
            </w:pPr>
            <w:r w:rsidRPr="00280EBB">
              <w:rPr>
                <w:bCs/>
                <w:sz w:val="20"/>
                <w:szCs w:val="20"/>
              </w:rPr>
              <w:t>175</w:t>
            </w:r>
          </w:p>
        </w:tc>
      </w:tr>
      <w:tr w:rsidR="00550B76" w:rsidRPr="00280EBB" w14:paraId="584D4E28" w14:textId="77777777" w:rsidTr="00792A83">
        <w:trPr>
          <w:trHeight w:val="328"/>
        </w:trPr>
        <w:tc>
          <w:tcPr>
            <w:tcW w:w="3387"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1E6F3C37" w14:textId="77777777" w:rsidR="00550B76" w:rsidRPr="00280EBB" w:rsidRDefault="00550B76" w:rsidP="00792A83">
            <w:pPr>
              <w:rPr>
                <w:bCs/>
                <w:sz w:val="20"/>
                <w:szCs w:val="20"/>
              </w:rPr>
            </w:pPr>
            <w:r w:rsidRPr="00280EBB">
              <w:rPr>
                <w:bCs/>
                <w:sz w:val="20"/>
                <w:szCs w:val="20"/>
              </w:rPr>
              <w:t> Publisher / vendor / service provider:   &gt;100 staff</w:t>
            </w:r>
          </w:p>
        </w:tc>
        <w:tc>
          <w:tcPr>
            <w:tcW w:w="910"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2C65BC7C" w14:textId="77777777" w:rsidR="00550B76" w:rsidRPr="00280EBB" w:rsidRDefault="00550B76" w:rsidP="00792A83">
            <w:pPr>
              <w:rPr>
                <w:bCs/>
                <w:sz w:val="20"/>
                <w:szCs w:val="20"/>
              </w:rPr>
            </w:pPr>
            <w:r w:rsidRPr="00280EBB">
              <w:rPr>
                <w:bCs/>
                <w:sz w:val="20"/>
                <w:szCs w:val="20"/>
              </w:rPr>
              <w:t>236</w:t>
            </w:r>
          </w:p>
        </w:tc>
        <w:tc>
          <w:tcPr>
            <w:tcW w:w="702" w:type="pct"/>
            <w:tcBorders>
              <w:top w:val="single" w:sz="8" w:space="0" w:color="FFFFFF"/>
              <w:left w:val="single" w:sz="8" w:space="0" w:color="FFFFFF"/>
              <w:bottom w:val="single" w:sz="8" w:space="0" w:color="FFFFFF"/>
              <w:right w:val="single" w:sz="8" w:space="0" w:color="FFFFFF"/>
            </w:tcBorders>
            <w:shd w:val="clear" w:color="auto" w:fill="auto"/>
            <w:tcMar>
              <w:top w:w="14" w:type="dxa"/>
              <w:left w:w="14" w:type="dxa"/>
              <w:bottom w:w="0" w:type="dxa"/>
              <w:right w:w="14" w:type="dxa"/>
            </w:tcMar>
            <w:hideMark/>
          </w:tcPr>
          <w:p w14:paraId="55FCA4DB" w14:textId="77777777" w:rsidR="00550B76" w:rsidRPr="00280EBB" w:rsidRDefault="00550B76" w:rsidP="00792A83">
            <w:pPr>
              <w:rPr>
                <w:bCs/>
                <w:sz w:val="20"/>
                <w:szCs w:val="20"/>
              </w:rPr>
            </w:pPr>
            <w:r w:rsidRPr="00280EBB">
              <w:rPr>
                <w:bCs/>
                <w:sz w:val="20"/>
                <w:szCs w:val="20"/>
              </w:rPr>
              <w:t>238</w:t>
            </w:r>
          </w:p>
        </w:tc>
      </w:tr>
    </w:tbl>
    <w:p w14:paraId="574758D1" w14:textId="77777777" w:rsidR="004E0605" w:rsidRDefault="004E0605" w:rsidP="002376A6"/>
    <w:p w14:paraId="67273B37" w14:textId="77777777" w:rsidR="004E0605" w:rsidRDefault="004E0605" w:rsidP="002376A6"/>
    <w:p w14:paraId="67179F65" w14:textId="0D67910F" w:rsidR="002376A6" w:rsidRDefault="00E73F10" w:rsidP="002376A6">
      <w:r>
        <w:t xml:space="preserve">This was proposed by </w:t>
      </w:r>
      <w:r w:rsidR="00550B76">
        <w:t>Frank Norman, Francis Crick Institute</w:t>
      </w:r>
      <w:r>
        <w:t xml:space="preserve">, seconded by </w:t>
      </w:r>
      <w:r w:rsidR="00550B76">
        <w:t>Katherine Rose, Imperial College</w:t>
      </w:r>
      <w:r w:rsidR="00E32592">
        <w:t xml:space="preserve"> </w:t>
      </w:r>
      <w:r>
        <w:t xml:space="preserve">and carried unanimously.  </w:t>
      </w:r>
    </w:p>
    <w:p w14:paraId="104ACD8C" w14:textId="77777777" w:rsidR="00EE2461" w:rsidRDefault="00EE2461" w:rsidP="002376A6"/>
    <w:p w14:paraId="20BC1DE5" w14:textId="77777777" w:rsidR="00E73F10" w:rsidRPr="00BC0FE0" w:rsidRDefault="00E73F10" w:rsidP="00E73F10">
      <w:pPr>
        <w:pStyle w:val="ListParagraph"/>
        <w:numPr>
          <w:ilvl w:val="0"/>
          <w:numId w:val="1"/>
        </w:numPr>
        <w:rPr>
          <w:b/>
          <w:sz w:val="24"/>
        </w:rPr>
      </w:pPr>
      <w:r w:rsidRPr="00BC0FE0">
        <w:rPr>
          <w:b/>
          <w:sz w:val="24"/>
        </w:rPr>
        <w:t>Reappointment of the Auditors and Authorisation for Directors to fix the Auditors’ Remuneration</w:t>
      </w:r>
    </w:p>
    <w:p w14:paraId="6BD3B035" w14:textId="5B9171A9" w:rsidR="00E73F10" w:rsidRDefault="00550B76" w:rsidP="00E73F10">
      <w:bookmarkStart w:id="0" w:name="_Hlk6925370"/>
      <w:r>
        <w:t>Charlie Rapple</w:t>
      </w:r>
      <w:r w:rsidR="00E73F10">
        <w:t xml:space="preserve"> recommended the reappointment of </w:t>
      </w:r>
      <w:proofErr w:type="spellStart"/>
      <w:r w:rsidR="00E73F10">
        <w:t>ReesRussell</w:t>
      </w:r>
      <w:proofErr w:type="spellEnd"/>
      <w:r w:rsidR="00E73F10">
        <w:t xml:space="preserve"> LLP of Witney as the Group’s auditors for the forthcoming year. This was proposed by </w:t>
      </w:r>
      <w:r>
        <w:t xml:space="preserve">Laura Wilkinson, </w:t>
      </w:r>
      <w:proofErr w:type="spellStart"/>
      <w:r>
        <w:t>CrossRef</w:t>
      </w:r>
      <w:proofErr w:type="spellEnd"/>
      <w:r w:rsidR="00E73F10">
        <w:t xml:space="preserve">, seconded </w:t>
      </w:r>
      <w:r w:rsidR="00E73F10" w:rsidRPr="00ED2F90">
        <w:rPr>
          <w:color w:val="000000" w:themeColor="text1"/>
        </w:rPr>
        <w:t xml:space="preserve">by </w:t>
      </w:r>
      <w:r>
        <w:rPr>
          <w:color w:val="000000" w:themeColor="text1"/>
        </w:rPr>
        <w:t>Colleen Campbell, Max Planck Institute,</w:t>
      </w:r>
      <w:r w:rsidR="00E73F10" w:rsidRPr="00546087">
        <w:rPr>
          <w:color w:val="FF0000"/>
        </w:rPr>
        <w:t xml:space="preserve"> </w:t>
      </w:r>
      <w:r w:rsidR="00E73F10">
        <w:t xml:space="preserve">and carried unanimously.  </w:t>
      </w:r>
    </w:p>
    <w:bookmarkEnd w:id="0"/>
    <w:p w14:paraId="331BCF2D" w14:textId="77777777" w:rsidR="00EE2461" w:rsidRDefault="00EE2461" w:rsidP="00E73F10"/>
    <w:p w14:paraId="4CE7B6CE" w14:textId="740A11A3" w:rsidR="00E73F10" w:rsidRPr="00BC0FE0" w:rsidRDefault="00E73F10" w:rsidP="00E73F10">
      <w:pPr>
        <w:pStyle w:val="ListParagraph"/>
        <w:numPr>
          <w:ilvl w:val="0"/>
          <w:numId w:val="1"/>
        </w:numPr>
        <w:rPr>
          <w:b/>
          <w:sz w:val="24"/>
        </w:rPr>
      </w:pPr>
      <w:r w:rsidRPr="00BC0FE0">
        <w:rPr>
          <w:b/>
          <w:sz w:val="24"/>
        </w:rPr>
        <w:t>Appointment of the Incoming Honorary Officers for 20</w:t>
      </w:r>
      <w:r w:rsidR="00550B76">
        <w:rPr>
          <w:b/>
          <w:sz w:val="24"/>
        </w:rPr>
        <w:t>19/2020</w:t>
      </w:r>
    </w:p>
    <w:p w14:paraId="705CE549" w14:textId="711B698F" w:rsidR="00E73F10" w:rsidRDefault="00E73F10" w:rsidP="00E73F10">
      <w:r>
        <w:t>One nomination only had been received for the three Honorary (Executive) officer posts and the following candidates were therefore elected/returned unopposed:</w:t>
      </w:r>
    </w:p>
    <w:p w14:paraId="36D5034D" w14:textId="4849FB75" w:rsidR="00E73F10" w:rsidRDefault="00E73F10" w:rsidP="00E73F10">
      <w:pPr>
        <w:ind w:left="720"/>
      </w:pPr>
      <w:r>
        <w:t>Chair: Andrew Barker</w:t>
      </w:r>
      <w:r w:rsidR="00550B76">
        <w:t>, University of Lancaster</w:t>
      </w:r>
    </w:p>
    <w:p w14:paraId="54DEEAD1" w14:textId="19B00215" w:rsidR="00550B76" w:rsidRDefault="00550B76" w:rsidP="00E73F10">
      <w:pPr>
        <w:ind w:left="720"/>
      </w:pPr>
      <w:r>
        <w:t>Vice Chair: Joanna Ball, Roskilde University</w:t>
      </w:r>
    </w:p>
    <w:p w14:paraId="1F6F8C64" w14:textId="23E94264" w:rsidR="00E73F10" w:rsidRDefault="00E73F10" w:rsidP="00E73F10">
      <w:pPr>
        <w:ind w:left="720"/>
      </w:pPr>
      <w:r>
        <w:t xml:space="preserve">Treasurer: </w:t>
      </w:r>
      <w:r w:rsidR="00550B76">
        <w:t>Charlie Rapple, Kudos</w:t>
      </w:r>
    </w:p>
    <w:p w14:paraId="1569A3C9" w14:textId="77777777" w:rsidR="00EE2461" w:rsidRDefault="00EE2461" w:rsidP="00E73F10">
      <w:pPr>
        <w:ind w:left="720"/>
      </w:pPr>
    </w:p>
    <w:p w14:paraId="10BD0620" w14:textId="77777777" w:rsidR="00E73F10" w:rsidRPr="00BC0FE0" w:rsidRDefault="00E73F10" w:rsidP="00E73F10">
      <w:pPr>
        <w:pStyle w:val="ListParagraph"/>
        <w:numPr>
          <w:ilvl w:val="0"/>
          <w:numId w:val="1"/>
        </w:numPr>
        <w:rPr>
          <w:b/>
          <w:sz w:val="24"/>
        </w:rPr>
      </w:pPr>
      <w:r w:rsidRPr="00BC0FE0">
        <w:rPr>
          <w:b/>
          <w:sz w:val="24"/>
        </w:rPr>
        <w:t>Announcement of the Results of the Elections of the Committee Members to fill the vacancies Arising</w:t>
      </w:r>
    </w:p>
    <w:p w14:paraId="3EA0C4A1" w14:textId="712F4586" w:rsidR="00E73F10" w:rsidRDefault="00550B76" w:rsidP="00E73F10">
      <w:r>
        <w:t>Two</w:t>
      </w:r>
      <w:r w:rsidR="00E73F10">
        <w:t xml:space="preserve"> places on the committee were available for election and the three members elected to the Committee for 20</w:t>
      </w:r>
      <w:r>
        <w:t>20</w:t>
      </w:r>
      <w:r w:rsidR="00E73F10">
        <w:t>/20</w:t>
      </w:r>
      <w:r>
        <w:t>21</w:t>
      </w:r>
      <w:r w:rsidR="00E73F10">
        <w:t xml:space="preserve"> were as follows:</w:t>
      </w:r>
    </w:p>
    <w:p w14:paraId="06954CC8" w14:textId="7DAE3132" w:rsidR="00546087" w:rsidRDefault="00550B76" w:rsidP="00546087">
      <w:pPr>
        <w:ind w:left="720"/>
      </w:pPr>
      <w:r>
        <w:t>Lorraine Estelle, Counter</w:t>
      </w:r>
    </w:p>
    <w:p w14:paraId="1EA25303" w14:textId="28862E3E" w:rsidR="00550B76" w:rsidRDefault="00550B76" w:rsidP="00546087">
      <w:pPr>
        <w:ind w:left="720"/>
      </w:pPr>
      <w:r>
        <w:t>Graham Stone, Jisc</w:t>
      </w:r>
    </w:p>
    <w:p w14:paraId="28AF40CA" w14:textId="77777777" w:rsidR="002B6E67" w:rsidRDefault="002B6E67" w:rsidP="00546087">
      <w:pPr>
        <w:ind w:left="720"/>
      </w:pPr>
    </w:p>
    <w:p w14:paraId="66555EB2" w14:textId="77777777" w:rsidR="00E73F10" w:rsidRDefault="00E73F10" w:rsidP="00E73F10">
      <w:r>
        <w:t>Continuing their tenure on the committee were:</w:t>
      </w:r>
    </w:p>
    <w:p w14:paraId="5AC38064" w14:textId="77777777" w:rsidR="00546087" w:rsidRDefault="00546087" w:rsidP="00546087">
      <w:pPr>
        <w:ind w:left="720"/>
      </w:pPr>
      <w:r>
        <w:t>Joanna Ball, University of Sussex</w:t>
      </w:r>
    </w:p>
    <w:p w14:paraId="19216E72" w14:textId="77777777" w:rsidR="00546087" w:rsidRDefault="00546087" w:rsidP="00546087">
      <w:pPr>
        <w:ind w:left="720"/>
      </w:pPr>
      <w:r>
        <w:t>Dominic Broadhurst, University of Manchester</w:t>
      </w:r>
    </w:p>
    <w:p w14:paraId="3296D764" w14:textId="2FABEFDA" w:rsidR="00546087" w:rsidRDefault="00546087" w:rsidP="00546087">
      <w:pPr>
        <w:ind w:left="720"/>
      </w:pPr>
      <w:r>
        <w:t>Colleen Campbell, Max Planck Society</w:t>
      </w:r>
    </w:p>
    <w:p w14:paraId="721D4227" w14:textId="1CE67506" w:rsidR="00550B76" w:rsidRDefault="00550B76" w:rsidP="00546087">
      <w:pPr>
        <w:ind w:left="720"/>
      </w:pPr>
      <w:r>
        <w:t>Anna Grigson, Royal Holloway</w:t>
      </w:r>
    </w:p>
    <w:p w14:paraId="32268DEC" w14:textId="40E86D0A" w:rsidR="00550B76" w:rsidRDefault="00550B76" w:rsidP="00546087">
      <w:pPr>
        <w:ind w:left="720"/>
      </w:pPr>
      <w:r>
        <w:t>Charlie Rapple, Kudos</w:t>
      </w:r>
    </w:p>
    <w:p w14:paraId="5FD1F835" w14:textId="5024291E" w:rsidR="00546087" w:rsidRDefault="00550B76" w:rsidP="00546087">
      <w:pPr>
        <w:ind w:left="720"/>
      </w:pPr>
      <w:r>
        <w:t>Katherine Rose, Imperial College</w:t>
      </w:r>
    </w:p>
    <w:p w14:paraId="164A37BF" w14:textId="2D4AD6FF" w:rsidR="00550B76" w:rsidRPr="00550B76" w:rsidRDefault="00550B76" w:rsidP="00550B76">
      <w:pPr>
        <w:rPr>
          <w:b/>
          <w:sz w:val="24"/>
        </w:rPr>
      </w:pPr>
      <w:r w:rsidRPr="00550B76">
        <w:rPr>
          <w:b/>
          <w:sz w:val="24"/>
        </w:rPr>
        <w:lastRenderedPageBreak/>
        <w:t>10. 2020 and the future</w:t>
      </w:r>
    </w:p>
    <w:p w14:paraId="2B26AE1C" w14:textId="3407F217" w:rsidR="00550B76" w:rsidRDefault="00550B76" w:rsidP="00550B76">
      <w:r>
        <w:t xml:space="preserve">Andrew thanked all members for their support following the decision to cancel the annual conference – both verbal, written and financial. It was much appreciated.  He noted that the situation was still extremely difficult financially and it was difficult to make decisions with the pandemic still ongoing. We are scenario planning different ways of delivering the 2021 event, but it remained our hope that it would happen in Harrogate as planned. </w:t>
      </w:r>
    </w:p>
    <w:p w14:paraId="3E1000BD" w14:textId="3826A080" w:rsidR="00550B76" w:rsidRPr="00550B76" w:rsidRDefault="00550B76" w:rsidP="00550B76">
      <w:r>
        <w:t xml:space="preserve">He thanked all staff for all of their work and dedication to supporting UKSG through a very difficult period. </w:t>
      </w:r>
    </w:p>
    <w:p w14:paraId="2B9A5F05" w14:textId="4820AD0F" w:rsidR="00BC0FE0" w:rsidRPr="00550B76" w:rsidRDefault="00550B76" w:rsidP="00550B76">
      <w:pPr>
        <w:rPr>
          <w:b/>
          <w:sz w:val="24"/>
        </w:rPr>
      </w:pPr>
      <w:r>
        <w:rPr>
          <w:b/>
          <w:sz w:val="24"/>
        </w:rPr>
        <w:t xml:space="preserve">11. </w:t>
      </w:r>
      <w:r w:rsidR="00BC0FE0" w:rsidRPr="00550B76">
        <w:rPr>
          <w:b/>
          <w:sz w:val="24"/>
        </w:rPr>
        <w:t>Any Other Business</w:t>
      </w:r>
    </w:p>
    <w:p w14:paraId="5C3C13F6" w14:textId="77777777" w:rsidR="00BC0FE0" w:rsidRDefault="002B6E67" w:rsidP="00BC0FE0">
      <w:r>
        <w:t>Andrew Barker</w:t>
      </w:r>
      <w:r w:rsidR="00BC0FE0">
        <w:t xml:space="preserve"> expressed thanks to committee members, volunteers and speakers at all events and to the UKSG staff for their work over the last year. </w:t>
      </w:r>
    </w:p>
    <w:p w14:paraId="07D6B9B5" w14:textId="77777777" w:rsidR="00BC0FE0" w:rsidRDefault="00BC0FE0" w:rsidP="00BC0FE0">
      <w:r>
        <w:t xml:space="preserve">The meeting was declared closed. </w:t>
      </w:r>
    </w:p>
    <w:p w14:paraId="539F1976" w14:textId="77777777" w:rsidR="00BC0FE0" w:rsidRDefault="00BC0FE0" w:rsidP="00E73F10"/>
    <w:p w14:paraId="19A0B35D" w14:textId="77777777" w:rsidR="00E73F10" w:rsidRDefault="00E73F10" w:rsidP="00E73F10"/>
    <w:p w14:paraId="450DB50D" w14:textId="77777777" w:rsidR="00E73F10" w:rsidRDefault="00E73F10" w:rsidP="00E73F10"/>
    <w:p w14:paraId="39E78B64" w14:textId="77777777" w:rsidR="00E73F10" w:rsidRDefault="00E73F10" w:rsidP="00E73F10"/>
    <w:sectPr w:rsidR="00E73F10" w:rsidSect="00364AF0">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4C01"/>
    <w:multiLevelType w:val="multilevel"/>
    <w:tmpl w:val="CE681D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C2"/>
    <w:rsid w:val="00140E12"/>
    <w:rsid w:val="001A702B"/>
    <w:rsid w:val="002376A6"/>
    <w:rsid w:val="002B660A"/>
    <w:rsid w:val="002B6E67"/>
    <w:rsid w:val="002C378D"/>
    <w:rsid w:val="00310E6A"/>
    <w:rsid w:val="0035623E"/>
    <w:rsid w:val="00364AF0"/>
    <w:rsid w:val="00385E6F"/>
    <w:rsid w:val="004E0605"/>
    <w:rsid w:val="00546087"/>
    <w:rsid w:val="00550B76"/>
    <w:rsid w:val="00585C78"/>
    <w:rsid w:val="00677E7F"/>
    <w:rsid w:val="00740A9E"/>
    <w:rsid w:val="007A2205"/>
    <w:rsid w:val="00827A73"/>
    <w:rsid w:val="00831687"/>
    <w:rsid w:val="00881B63"/>
    <w:rsid w:val="009440D9"/>
    <w:rsid w:val="009E06C2"/>
    <w:rsid w:val="00A065E3"/>
    <w:rsid w:val="00A22883"/>
    <w:rsid w:val="00B91E5F"/>
    <w:rsid w:val="00BB77EE"/>
    <w:rsid w:val="00BC0FE0"/>
    <w:rsid w:val="00C25F02"/>
    <w:rsid w:val="00D07C1C"/>
    <w:rsid w:val="00E32592"/>
    <w:rsid w:val="00E73F10"/>
    <w:rsid w:val="00E91387"/>
    <w:rsid w:val="00EA4EE3"/>
    <w:rsid w:val="00ED2F90"/>
    <w:rsid w:val="00EE2461"/>
    <w:rsid w:val="00F763A1"/>
    <w:rsid w:val="00FA1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8290"/>
  <w15:chartTrackingRefBased/>
  <w15:docId w15:val="{93002B6D-D049-4037-B6AC-4C2B4FE1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6C2"/>
    <w:pPr>
      <w:ind w:left="720"/>
      <w:contextualSpacing/>
    </w:pPr>
  </w:style>
  <w:style w:type="paragraph" w:styleId="BalloonText">
    <w:name w:val="Balloon Text"/>
    <w:basedOn w:val="Normal"/>
    <w:link w:val="BalloonTextChar"/>
    <w:uiPriority w:val="99"/>
    <w:semiHidden/>
    <w:unhideWhenUsed/>
    <w:rsid w:val="002C3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295700">
      <w:bodyDiv w:val="1"/>
      <w:marLeft w:val="0"/>
      <w:marRight w:val="0"/>
      <w:marTop w:val="0"/>
      <w:marBottom w:val="0"/>
      <w:divBdr>
        <w:top w:val="none" w:sz="0" w:space="0" w:color="auto"/>
        <w:left w:val="none" w:sz="0" w:space="0" w:color="auto"/>
        <w:bottom w:val="none" w:sz="0" w:space="0" w:color="auto"/>
        <w:right w:val="none" w:sz="0" w:space="0" w:color="auto"/>
      </w:divBdr>
    </w:div>
    <w:div w:id="1767269659">
      <w:bodyDiv w:val="1"/>
      <w:marLeft w:val="0"/>
      <w:marRight w:val="0"/>
      <w:marTop w:val="0"/>
      <w:marBottom w:val="0"/>
      <w:divBdr>
        <w:top w:val="none" w:sz="0" w:space="0" w:color="auto"/>
        <w:left w:val="none" w:sz="0" w:space="0" w:color="auto"/>
        <w:bottom w:val="none" w:sz="0" w:space="0" w:color="auto"/>
        <w:right w:val="none" w:sz="0" w:space="0" w:color="auto"/>
      </w:divBdr>
    </w:div>
    <w:div w:id="208977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dc:creator>
  <cp:keywords/>
  <dc:description/>
  <cp:lastModifiedBy>Bev</cp:lastModifiedBy>
  <cp:revision>2</cp:revision>
  <cp:lastPrinted>2018-04-12T16:11:00Z</cp:lastPrinted>
  <dcterms:created xsi:type="dcterms:W3CDTF">2020-10-01T13:34:00Z</dcterms:created>
  <dcterms:modified xsi:type="dcterms:W3CDTF">2020-10-01T13:34:00Z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FileId">
    <vt:lpwstr>373093</vt:lpwstr>
  </property>
  <property fmtid="{D5CDD505-2E9C-101B-9397-08002B2CF9AE}" pid="4" name="InsertAsFootnote">
    <vt:lpwstr>False</vt:lpwstr>
  </property>
  <property fmtid="{D5CDD505-2E9C-101B-9397-08002B2CF9AE}" pid="5" name="StyleId">
    <vt:lpwstr>http://www.zotero.org/styles/vancouver</vt:lpwstr>
  </property>
</Properties>
</file>